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79631" w14:textId="06B4CE62" w:rsidR="00FF781C" w:rsidRPr="00B95725" w:rsidRDefault="00FF781C" w:rsidP="00FF781C">
      <w:pPr>
        <w:spacing w:after="220" w:line="240" w:lineRule="auto"/>
        <w:rPr>
          <w:rFonts w:ascii="Arial" w:eastAsia="Times New Roman" w:hAnsi="Arial" w:cs="Times New Roman"/>
          <w:b/>
          <w:szCs w:val="24"/>
        </w:rPr>
      </w:pPr>
      <w:r w:rsidRPr="00B95725">
        <w:rPr>
          <w:rFonts w:ascii="Times New Roman" w:eastAsia="Times New Roman" w:hAnsi="Times New Roman" w:cs="Times New Roman"/>
          <w:b/>
          <w:sz w:val="24"/>
          <w:szCs w:val="24"/>
        </w:rPr>
        <w:t>Table</w:t>
      </w:r>
      <w:r w:rsidR="00B95725" w:rsidRPr="00B95725">
        <w:rPr>
          <w:rFonts w:ascii="Times New Roman" w:eastAsia="Times New Roman" w:hAnsi="Times New Roman" w:cs="Times New Roman"/>
          <w:b/>
          <w:sz w:val="24"/>
          <w:szCs w:val="24"/>
        </w:rPr>
        <w:t xml:space="preserve"> B-</w:t>
      </w:r>
      <w:r w:rsidRPr="00B95725">
        <w:rPr>
          <w:rFonts w:ascii="Times New Roman" w:eastAsia="Times New Roman" w:hAnsi="Times New Roman" w:cs="Times New Roman"/>
          <w:b/>
          <w:sz w:val="24"/>
          <w:szCs w:val="24"/>
        </w:rPr>
        <w:t>2</w:t>
      </w:r>
      <w:r w:rsidR="00B95725" w:rsidRPr="00B95725">
        <w:rPr>
          <w:rFonts w:ascii="Times New Roman" w:eastAsia="Times New Roman" w:hAnsi="Times New Roman" w:cs="Times New Roman"/>
          <w:b/>
          <w:sz w:val="24"/>
          <w:szCs w:val="24"/>
        </w:rPr>
        <w:t xml:space="preserve"> / </w:t>
      </w:r>
      <w:r w:rsidR="00B95725">
        <w:rPr>
          <w:rFonts w:ascii="Times New Roman" w:eastAsia="Times New Roman" w:hAnsi="Times New Roman" w:cs="Times New Roman"/>
          <w:b/>
          <w:sz w:val="24"/>
          <w:szCs w:val="24"/>
        </w:rPr>
        <w:t xml:space="preserve">Table </w:t>
      </w:r>
      <w:r w:rsidR="00B95725" w:rsidRPr="00B95725">
        <w:rPr>
          <w:rFonts w:ascii="Times New Roman" w:eastAsia="Times New Roman" w:hAnsi="Times New Roman" w:cs="Times New Roman"/>
          <w:b/>
          <w:sz w:val="24"/>
          <w:szCs w:val="24"/>
        </w:rPr>
        <w:t>K-1 -</w:t>
      </w:r>
      <w:r w:rsidRPr="00B95725">
        <w:rPr>
          <w:rFonts w:ascii="Times New Roman" w:eastAsia="Times New Roman" w:hAnsi="Times New Roman" w:cs="Times New Roman"/>
          <w:b/>
          <w:sz w:val="24"/>
          <w:szCs w:val="24"/>
        </w:rPr>
        <w:t xml:space="preserve">Environmental and Socio-Economics Interactions </w:t>
      </w:r>
    </w:p>
    <w:tbl>
      <w:tblPr>
        <w:tblpPr w:leftFromText="180" w:rightFromText="180" w:vertAnchor="page" w:horzAnchor="margin" w:tblpY="2692"/>
        <w:tblW w:w="18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58"/>
        <w:gridCol w:w="1597"/>
        <w:gridCol w:w="2363"/>
        <w:gridCol w:w="1440"/>
        <w:gridCol w:w="1620"/>
        <w:gridCol w:w="1440"/>
        <w:gridCol w:w="1530"/>
        <w:gridCol w:w="3060"/>
        <w:gridCol w:w="2412"/>
      </w:tblGrid>
      <w:tr w:rsidR="00FF781C" w:rsidRPr="00FF781C" w14:paraId="464E7723" w14:textId="77777777" w:rsidTr="00B95725">
        <w:trPr>
          <w:trHeight w:val="2690"/>
        </w:trPr>
        <w:tc>
          <w:tcPr>
            <w:tcW w:w="1530" w:type="dxa"/>
            <w:shd w:val="clear" w:color="auto" w:fill="F2F2F2" w:themeFill="background1" w:themeFillShade="F2"/>
          </w:tcPr>
          <w:p w14:paraId="7229A90B" w14:textId="77777777" w:rsidR="00FF781C" w:rsidRPr="00FF781C" w:rsidRDefault="00FF781C" w:rsidP="00FF781C">
            <w:pPr>
              <w:spacing w:after="120" w:line="240" w:lineRule="auto"/>
              <w:rPr>
                <w:rFonts w:ascii="Times New Roman" w:eastAsia="Times New Roman" w:hAnsi="Times New Roman" w:cs="Times New Roman"/>
                <w:b/>
                <w:sz w:val="21"/>
                <w:szCs w:val="21"/>
              </w:rPr>
            </w:pPr>
            <w:r w:rsidRPr="00FF781C">
              <w:rPr>
                <w:rFonts w:ascii="Times New Roman" w:eastAsia="Times New Roman" w:hAnsi="Times New Roman" w:cs="Times New Roman"/>
                <w:b/>
                <w:sz w:val="21"/>
                <w:szCs w:val="21"/>
              </w:rPr>
              <w:t>Element</w:t>
            </w:r>
          </w:p>
        </w:tc>
        <w:tc>
          <w:tcPr>
            <w:tcW w:w="1458" w:type="dxa"/>
            <w:shd w:val="clear" w:color="auto" w:fill="F2F2F2" w:themeFill="background1" w:themeFillShade="F2"/>
          </w:tcPr>
          <w:p w14:paraId="434703A1" w14:textId="77777777" w:rsidR="00FF781C" w:rsidRPr="00FF781C" w:rsidRDefault="00FF781C" w:rsidP="00FF781C">
            <w:pPr>
              <w:spacing w:after="120" w:line="240" w:lineRule="auto"/>
              <w:rPr>
                <w:rFonts w:ascii="Times New Roman" w:eastAsia="Times New Roman" w:hAnsi="Times New Roman" w:cs="Times New Roman"/>
                <w:b/>
                <w:sz w:val="21"/>
                <w:szCs w:val="21"/>
              </w:rPr>
            </w:pPr>
            <w:r w:rsidRPr="00FF781C">
              <w:rPr>
                <w:rFonts w:ascii="Times New Roman" w:eastAsia="Times New Roman" w:hAnsi="Times New Roman" w:cs="Times New Roman"/>
                <w:b/>
                <w:sz w:val="21"/>
                <w:szCs w:val="21"/>
              </w:rPr>
              <w:t>Interaction (Yes or No)</w:t>
            </w:r>
          </w:p>
        </w:tc>
        <w:tc>
          <w:tcPr>
            <w:tcW w:w="1597" w:type="dxa"/>
            <w:shd w:val="clear" w:color="auto" w:fill="F2F2F2" w:themeFill="background1" w:themeFillShade="F2"/>
          </w:tcPr>
          <w:p w14:paraId="1663226A" w14:textId="77777777" w:rsidR="00FF781C" w:rsidRPr="00FF781C" w:rsidRDefault="00FF781C" w:rsidP="00FF781C">
            <w:pPr>
              <w:spacing w:after="120" w:line="240" w:lineRule="auto"/>
              <w:rPr>
                <w:rFonts w:ascii="Times New Roman" w:eastAsia="Times New Roman" w:hAnsi="Times New Roman" w:cs="Times New Roman"/>
                <w:b/>
                <w:sz w:val="21"/>
                <w:szCs w:val="21"/>
              </w:rPr>
            </w:pPr>
            <w:r w:rsidRPr="00FF781C">
              <w:rPr>
                <w:rFonts w:ascii="Times New Roman" w:eastAsia="Times New Roman" w:hAnsi="Times New Roman" w:cs="Times New Roman"/>
                <w:b/>
                <w:sz w:val="21"/>
                <w:szCs w:val="21"/>
              </w:rPr>
              <w:t>Description of Interaction(s) (if no interaction is predicted, provide justification)</w:t>
            </w:r>
          </w:p>
        </w:tc>
        <w:tc>
          <w:tcPr>
            <w:tcW w:w="2363" w:type="dxa"/>
            <w:shd w:val="clear" w:color="auto" w:fill="F2F2F2" w:themeFill="background1" w:themeFillShade="F2"/>
          </w:tcPr>
          <w:p w14:paraId="742BF7B3" w14:textId="77777777" w:rsidR="00FF781C" w:rsidRPr="00FF781C" w:rsidRDefault="00FF781C" w:rsidP="00FF781C">
            <w:pPr>
              <w:spacing w:after="120" w:line="240" w:lineRule="auto"/>
              <w:rPr>
                <w:rFonts w:ascii="Times New Roman" w:eastAsia="Times New Roman" w:hAnsi="Times New Roman" w:cs="Times New Roman"/>
                <w:b/>
                <w:sz w:val="21"/>
                <w:szCs w:val="21"/>
              </w:rPr>
            </w:pPr>
            <w:r w:rsidRPr="00FF781C">
              <w:rPr>
                <w:rFonts w:ascii="Times New Roman" w:eastAsia="Times New Roman" w:hAnsi="Times New Roman" w:cs="Times New Roman"/>
                <w:b/>
                <w:sz w:val="21"/>
                <w:szCs w:val="21"/>
              </w:rPr>
              <w:t>Status of element – specific study or survey (complete, underway, date expected, or underway)</w:t>
            </w:r>
          </w:p>
        </w:tc>
        <w:tc>
          <w:tcPr>
            <w:tcW w:w="1440" w:type="dxa"/>
            <w:shd w:val="clear" w:color="auto" w:fill="F2F2F2" w:themeFill="background1" w:themeFillShade="F2"/>
          </w:tcPr>
          <w:p w14:paraId="55CA7AE6" w14:textId="77777777" w:rsidR="00FF781C" w:rsidRPr="00FF781C" w:rsidRDefault="00FF781C" w:rsidP="00FF781C">
            <w:pPr>
              <w:spacing w:after="120" w:line="240" w:lineRule="auto"/>
              <w:rPr>
                <w:rFonts w:ascii="Times New Roman" w:eastAsia="Times New Roman" w:hAnsi="Times New Roman" w:cs="Times New Roman"/>
                <w:b/>
                <w:sz w:val="21"/>
                <w:szCs w:val="21"/>
              </w:rPr>
            </w:pPr>
            <w:r w:rsidRPr="00FF781C">
              <w:rPr>
                <w:rFonts w:ascii="Times New Roman" w:eastAsia="Times New Roman" w:hAnsi="Times New Roman" w:cs="Times New Roman"/>
                <w:b/>
                <w:sz w:val="21"/>
                <w:szCs w:val="21"/>
              </w:rPr>
              <w:t>Description of potential effects</w:t>
            </w:r>
          </w:p>
        </w:tc>
        <w:tc>
          <w:tcPr>
            <w:tcW w:w="1620" w:type="dxa"/>
            <w:shd w:val="clear" w:color="auto" w:fill="F2F2F2" w:themeFill="background1" w:themeFillShade="F2"/>
          </w:tcPr>
          <w:p w14:paraId="53D9A08C" w14:textId="77777777" w:rsidR="00FF781C" w:rsidRPr="00FF781C" w:rsidRDefault="00FF781C" w:rsidP="00FF781C">
            <w:pPr>
              <w:spacing w:after="120" w:line="240" w:lineRule="auto"/>
              <w:rPr>
                <w:rFonts w:ascii="Times New Roman" w:eastAsia="Times New Roman" w:hAnsi="Times New Roman" w:cs="Times New Roman"/>
                <w:b/>
                <w:sz w:val="21"/>
                <w:szCs w:val="21"/>
              </w:rPr>
            </w:pPr>
            <w:r w:rsidRPr="00FF781C">
              <w:rPr>
                <w:rFonts w:ascii="Times New Roman" w:eastAsia="Times New Roman" w:hAnsi="Times New Roman" w:cs="Times New Roman"/>
                <w:b/>
                <w:sz w:val="21"/>
                <w:szCs w:val="21"/>
              </w:rPr>
              <w:t>Mitigation will be implemented to address potential adverse effects (Yes or No)</w:t>
            </w:r>
          </w:p>
        </w:tc>
        <w:tc>
          <w:tcPr>
            <w:tcW w:w="1440" w:type="dxa"/>
            <w:shd w:val="clear" w:color="auto" w:fill="F2F2F2" w:themeFill="background1" w:themeFillShade="F2"/>
          </w:tcPr>
          <w:p w14:paraId="5EF0F047" w14:textId="77777777" w:rsidR="00FF781C" w:rsidRPr="00FF781C" w:rsidRDefault="00FF781C" w:rsidP="00FF781C">
            <w:pPr>
              <w:spacing w:after="120" w:line="240" w:lineRule="auto"/>
              <w:rPr>
                <w:rFonts w:ascii="Times New Roman" w:eastAsia="Times New Roman" w:hAnsi="Times New Roman" w:cs="Times New Roman"/>
                <w:b/>
                <w:sz w:val="21"/>
                <w:szCs w:val="21"/>
              </w:rPr>
            </w:pPr>
            <w:r w:rsidRPr="00FF781C">
              <w:rPr>
                <w:rFonts w:ascii="Times New Roman" w:eastAsia="Times New Roman" w:hAnsi="Times New Roman" w:cs="Times New Roman"/>
                <w:b/>
                <w:sz w:val="21"/>
                <w:szCs w:val="21"/>
              </w:rPr>
              <w:t>Description of mitigation to be applied</w:t>
            </w:r>
          </w:p>
        </w:tc>
        <w:tc>
          <w:tcPr>
            <w:tcW w:w="1530" w:type="dxa"/>
            <w:shd w:val="clear" w:color="auto" w:fill="F2F2F2" w:themeFill="background1" w:themeFillShade="F2"/>
          </w:tcPr>
          <w:p w14:paraId="5C3EB054" w14:textId="77777777" w:rsidR="00FF781C" w:rsidRPr="00FF781C" w:rsidRDefault="00FF781C" w:rsidP="00FF781C">
            <w:pPr>
              <w:spacing w:after="120" w:line="240" w:lineRule="auto"/>
              <w:rPr>
                <w:rFonts w:ascii="Times New Roman" w:eastAsia="Times New Roman" w:hAnsi="Times New Roman" w:cs="Times New Roman"/>
                <w:b/>
                <w:sz w:val="21"/>
                <w:szCs w:val="21"/>
              </w:rPr>
            </w:pPr>
            <w:r w:rsidRPr="00FF781C">
              <w:rPr>
                <w:rFonts w:ascii="Times New Roman" w:eastAsia="Times New Roman" w:hAnsi="Times New Roman" w:cs="Times New Roman"/>
                <w:b/>
                <w:sz w:val="21"/>
                <w:szCs w:val="21"/>
              </w:rPr>
              <w:t xml:space="preserve">Description of residual effects after mitigation, including the spatial and temporal extent of the effects </w:t>
            </w:r>
          </w:p>
        </w:tc>
        <w:tc>
          <w:tcPr>
            <w:tcW w:w="3060" w:type="dxa"/>
            <w:shd w:val="clear" w:color="auto" w:fill="F2F2F2" w:themeFill="background1" w:themeFillShade="F2"/>
          </w:tcPr>
          <w:p w14:paraId="6BFF6CDE" w14:textId="77777777" w:rsidR="00FF781C" w:rsidRPr="00FF781C" w:rsidRDefault="00FF781C" w:rsidP="00FF781C">
            <w:pPr>
              <w:autoSpaceDE w:val="0"/>
              <w:autoSpaceDN w:val="0"/>
              <w:adjustRightInd w:val="0"/>
              <w:spacing w:after="120" w:line="240" w:lineRule="auto"/>
              <w:rPr>
                <w:rFonts w:ascii="Times New Roman" w:eastAsia="Times New Roman" w:hAnsi="Times New Roman" w:cs="Times New Roman"/>
                <w:b/>
                <w:sz w:val="21"/>
                <w:szCs w:val="21"/>
              </w:rPr>
            </w:pPr>
            <w:r w:rsidRPr="00FF781C">
              <w:rPr>
                <w:rFonts w:ascii="Times New Roman" w:eastAsia="Times New Roman" w:hAnsi="Times New Roman" w:cs="Times New Roman"/>
                <w:b/>
                <w:sz w:val="21"/>
                <w:szCs w:val="21"/>
              </w:rPr>
              <w:t xml:space="preserve">Specify if there will likely be an interaction between the predicted residual effects of the project and the effects of other projects or activities that have been or will be carried out (Yes or No). If Yes, describe the cumulative effects. </w:t>
            </w:r>
          </w:p>
        </w:tc>
        <w:tc>
          <w:tcPr>
            <w:tcW w:w="2412" w:type="dxa"/>
            <w:shd w:val="clear" w:color="auto" w:fill="F2F2F2" w:themeFill="background1" w:themeFillShade="F2"/>
          </w:tcPr>
          <w:p w14:paraId="41005F22" w14:textId="77777777" w:rsidR="00FF781C" w:rsidRPr="00FF781C" w:rsidRDefault="00FF781C" w:rsidP="00FF781C">
            <w:pPr>
              <w:spacing w:after="120" w:line="240" w:lineRule="auto"/>
              <w:rPr>
                <w:rFonts w:ascii="Times New Roman" w:eastAsia="Times New Roman" w:hAnsi="Times New Roman" w:cs="Times New Roman"/>
                <w:b/>
                <w:sz w:val="21"/>
                <w:szCs w:val="21"/>
              </w:rPr>
            </w:pPr>
            <w:r w:rsidRPr="00FF781C">
              <w:rPr>
                <w:rFonts w:ascii="Times New Roman" w:eastAsia="Times New Roman" w:hAnsi="Times New Roman" w:cs="Times New Roman"/>
                <w:b/>
                <w:sz w:val="21"/>
                <w:szCs w:val="21"/>
              </w:rPr>
              <w:t>Monitoring Plan and Details</w:t>
            </w:r>
          </w:p>
        </w:tc>
      </w:tr>
      <w:tr w:rsidR="00FF781C" w:rsidRPr="00FF781C" w14:paraId="04C418B0" w14:textId="77777777" w:rsidTr="00C02B66">
        <w:tc>
          <w:tcPr>
            <w:tcW w:w="1530" w:type="dxa"/>
            <w:shd w:val="clear" w:color="auto" w:fill="auto"/>
          </w:tcPr>
          <w:p w14:paraId="4B3D671C"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Physical and Meteorological Environment</w:t>
            </w:r>
          </w:p>
        </w:tc>
        <w:tc>
          <w:tcPr>
            <w:tcW w:w="1458" w:type="dxa"/>
            <w:shd w:val="clear" w:color="auto" w:fill="auto"/>
          </w:tcPr>
          <w:p w14:paraId="0DA97E82"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3A66F2D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1A7E924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04BF3AF0"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3744CE0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65A1796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7EBC26F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133069F7"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435DE918"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07122EFF" w14:textId="77777777" w:rsidTr="00C02B66">
        <w:tc>
          <w:tcPr>
            <w:tcW w:w="1530" w:type="dxa"/>
            <w:shd w:val="clear" w:color="auto" w:fill="auto"/>
          </w:tcPr>
          <w:p w14:paraId="71F3B8AE"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Soil and Soil Productivity</w:t>
            </w:r>
          </w:p>
        </w:tc>
        <w:tc>
          <w:tcPr>
            <w:tcW w:w="1458" w:type="dxa"/>
            <w:shd w:val="clear" w:color="auto" w:fill="auto"/>
          </w:tcPr>
          <w:p w14:paraId="2E00D38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70BF1C6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6EB2B1FA"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5862B42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5DA58758"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324612A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4545BE9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1FAEB79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0CC545C4"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28A3D8BB" w14:textId="77777777" w:rsidTr="00C02B66">
        <w:tc>
          <w:tcPr>
            <w:tcW w:w="1530" w:type="dxa"/>
            <w:shd w:val="clear" w:color="auto" w:fill="auto"/>
          </w:tcPr>
          <w:p w14:paraId="5FA1A85A"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Vegetation</w:t>
            </w:r>
          </w:p>
        </w:tc>
        <w:tc>
          <w:tcPr>
            <w:tcW w:w="1458" w:type="dxa"/>
            <w:shd w:val="clear" w:color="auto" w:fill="auto"/>
          </w:tcPr>
          <w:p w14:paraId="57C47BF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27D52C9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381D7A79"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5DF03BF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64393B8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02AECC12"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06D7905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16C8AC6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2B8BAE20"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0D6D18A0" w14:textId="77777777" w:rsidTr="00C02B66">
        <w:tc>
          <w:tcPr>
            <w:tcW w:w="1530" w:type="dxa"/>
            <w:shd w:val="clear" w:color="auto" w:fill="auto"/>
          </w:tcPr>
          <w:p w14:paraId="30BE4AA0"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Water Quality and Quantity</w:t>
            </w:r>
          </w:p>
        </w:tc>
        <w:tc>
          <w:tcPr>
            <w:tcW w:w="1458" w:type="dxa"/>
            <w:shd w:val="clear" w:color="auto" w:fill="auto"/>
          </w:tcPr>
          <w:p w14:paraId="0F419F4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63890D8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1BD8A6E2"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6186FC20"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1283312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4E01F46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3C0A96B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7D45EA1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7E33345F"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5A9D9D69" w14:textId="77777777" w:rsidTr="00C02B66">
        <w:tc>
          <w:tcPr>
            <w:tcW w:w="1530" w:type="dxa"/>
            <w:shd w:val="clear" w:color="auto" w:fill="auto"/>
          </w:tcPr>
          <w:p w14:paraId="2D566C32"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Fish and Fish Habitat</w:t>
            </w:r>
          </w:p>
        </w:tc>
        <w:tc>
          <w:tcPr>
            <w:tcW w:w="1458" w:type="dxa"/>
            <w:shd w:val="clear" w:color="auto" w:fill="auto"/>
          </w:tcPr>
          <w:p w14:paraId="67818B3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6FC76B2A"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5067197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1E483FE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54C81C57"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1BF421E1"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7FC47A4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2F93987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4C4DAAC8"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764B5375" w14:textId="77777777" w:rsidTr="00C02B66">
        <w:tc>
          <w:tcPr>
            <w:tcW w:w="1530" w:type="dxa"/>
            <w:shd w:val="clear" w:color="auto" w:fill="auto"/>
          </w:tcPr>
          <w:p w14:paraId="6BACAE6B"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Wetlands</w:t>
            </w:r>
          </w:p>
        </w:tc>
        <w:tc>
          <w:tcPr>
            <w:tcW w:w="1458" w:type="dxa"/>
            <w:shd w:val="clear" w:color="auto" w:fill="auto"/>
          </w:tcPr>
          <w:p w14:paraId="5AAC209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186AA23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4DDDC04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4F26CC72"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1E7E0B08"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6479EEA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34C6223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301C4B4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48801FA8"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3F69F314" w14:textId="77777777" w:rsidTr="00C02B66">
        <w:tc>
          <w:tcPr>
            <w:tcW w:w="1530" w:type="dxa"/>
            <w:shd w:val="clear" w:color="auto" w:fill="auto"/>
          </w:tcPr>
          <w:p w14:paraId="42CDB121"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Wildlife and Wildlife Habitat</w:t>
            </w:r>
          </w:p>
        </w:tc>
        <w:tc>
          <w:tcPr>
            <w:tcW w:w="1458" w:type="dxa"/>
            <w:shd w:val="clear" w:color="auto" w:fill="auto"/>
          </w:tcPr>
          <w:p w14:paraId="6811221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7456BEA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3EDCD9C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399B30F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11B21168"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752738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3128184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6A393CC7"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30DD9355"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01FCB70C" w14:textId="77777777" w:rsidTr="00C02B66">
        <w:tc>
          <w:tcPr>
            <w:tcW w:w="1530" w:type="dxa"/>
            <w:shd w:val="clear" w:color="auto" w:fill="auto"/>
          </w:tcPr>
          <w:p w14:paraId="5E9F1FE1"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Species at Risk, or Species of Special Status, and Related Habitat</w:t>
            </w:r>
          </w:p>
        </w:tc>
        <w:tc>
          <w:tcPr>
            <w:tcW w:w="1458" w:type="dxa"/>
            <w:shd w:val="clear" w:color="auto" w:fill="auto"/>
          </w:tcPr>
          <w:p w14:paraId="1996DDD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4BCA7367"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30BA038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6B25DBA2"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2667B949"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43BDA7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3739FDB9"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46C7760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6D08B460"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58D7D9BF" w14:textId="77777777" w:rsidTr="00C02B66">
        <w:tc>
          <w:tcPr>
            <w:tcW w:w="1530" w:type="dxa"/>
            <w:shd w:val="clear" w:color="auto" w:fill="auto"/>
          </w:tcPr>
          <w:p w14:paraId="5706F7B0"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 xml:space="preserve">Air Emissions </w:t>
            </w:r>
          </w:p>
        </w:tc>
        <w:tc>
          <w:tcPr>
            <w:tcW w:w="1458" w:type="dxa"/>
            <w:shd w:val="clear" w:color="auto" w:fill="auto"/>
          </w:tcPr>
          <w:p w14:paraId="4158FAD9"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0D9C347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3C96A190"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9C0D857"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7638894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1F8270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57FD8869"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34671AC2"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727A4C8E"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4B53B63E" w14:textId="77777777" w:rsidTr="00C02B66">
        <w:tc>
          <w:tcPr>
            <w:tcW w:w="1530" w:type="dxa"/>
            <w:shd w:val="clear" w:color="auto" w:fill="auto"/>
          </w:tcPr>
          <w:p w14:paraId="6BC95F75"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GHG Emissions</w:t>
            </w:r>
          </w:p>
        </w:tc>
        <w:tc>
          <w:tcPr>
            <w:tcW w:w="1458" w:type="dxa"/>
            <w:shd w:val="clear" w:color="auto" w:fill="auto"/>
          </w:tcPr>
          <w:p w14:paraId="275FFB00"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282CED4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5E97215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66E800E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6D78152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32D16F70"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27ACDA8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2D493C4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6D9A163B"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6C7C8EF3" w14:textId="77777777" w:rsidTr="00C02B66">
        <w:tc>
          <w:tcPr>
            <w:tcW w:w="1530" w:type="dxa"/>
            <w:shd w:val="clear" w:color="auto" w:fill="auto"/>
          </w:tcPr>
          <w:p w14:paraId="65833612"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Acoustic Environment</w:t>
            </w:r>
          </w:p>
        </w:tc>
        <w:tc>
          <w:tcPr>
            <w:tcW w:w="1458" w:type="dxa"/>
            <w:shd w:val="clear" w:color="auto" w:fill="auto"/>
          </w:tcPr>
          <w:p w14:paraId="75BE50AA"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21297AD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4F59CE3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4349CEF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01963E57"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BE24A32"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3345620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07CE1098"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075F423B"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54D8FE5C" w14:textId="77777777" w:rsidTr="00C02B66">
        <w:tc>
          <w:tcPr>
            <w:tcW w:w="1530" w:type="dxa"/>
            <w:shd w:val="clear" w:color="auto" w:fill="auto"/>
          </w:tcPr>
          <w:p w14:paraId="0184DEFE"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Human Occupancy and Resource Use</w:t>
            </w:r>
          </w:p>
        </w:tc>
        <w:tc>
          <w:tcPr>
            <w:tcW w:w="1458" w:type="dxa"/>
            <w:shd w:val="clear" w:color="auto" w:fill="auto"/>
          </w:tcPr>
          <w:p w14:paraId="616B5A2A"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6E6ED752"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2D4756D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24DAEE8A"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7DFDF0B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1208420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61D993C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73082571"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1A915790"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7870DD4C" w14:textId="77777777" w:rsidTr="00C02B66">
        <w:tc>
          <w:tcPr>
            <w:tcW w:w="1530" w:type="dxa"/>
            <w:shd w:val="clear" w:color="auto" w:fill="auto"/>
          </w:tcPr>
          <w:p w14:paraId="23A30177"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Heritage Resources (both Crown and private lands)</w:t>
            </w:r>
          </w:p>
        </w:tc>
        <w:tc>
          <w:tcPr>
            <w:tcW w:w="1458" w:type="dxa"/>
            <w:shd w:val="clear" w:color="auto" w:fill="auto"/>
          </w:tcPr>
          <w:p w14:paraId="3F7BF73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11C8C42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5E1A5367"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32FE6F9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660B86C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633FB1A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1D902B11"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3ED0F04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709DFFF2"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067BBBD8" w14:textId="77777777" w:rsidTr="00C02B66">
        <w:tc>
          <w:tcPr>
            <w:tcW w:w="1530" w:type="dxa"/>
            <w:shd w:val="clear" w:color="auto" w:fill="auto"/>
          </w:tcPr>
          <w:p w14:paraId="1CE6AC84"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Navigation and Navigation Safety</w:t>
            </w:r>
          </w:p>
        </w:tc>
        <w:tc>
          <w:tcPr>
            <w:tcW w:w="1458" w:type="dxa"/>
            <w:shd w:val="clear" w:color="auto" w:fill="auto"/>
          </w:tcPr>
          <w:p w14:paraId="5874F9D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1AA1047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2E3644B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2F8073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303A7D50"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4EE62AE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6F0976C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591F72D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26863A6A"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38E85BB8" w14:textId="77777777" w:rsidTr="00C02B66">
        <w:tc>
          <w:tcPr>
            <w:tcW w:w="1530" w:type="dxa"/>
            <w:shd w:val="clear" w:color="auto" w:fill="auto"/>
          </w:tcPr>
          <w:p w14:paraId="53E1FDF2"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Indigenous Traditional Land and Resource Use</w:t>
            </w:r>
          </w:p>
        </w:tc>
        <w:tc>
          <w:tcPr>
            <w:tcW w:w="1458" w:type="dxa"/>
            <w:shd w:val="clear" w:color="auto" w:fill="auto"/>
          </w:tcPr>
          <w:p w14:paraId="1FD81AC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40876941"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25DDC838"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4856CB82"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44CA18C9"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1825B9B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7A51EA5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3397A4B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5B9687E6"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07221507" w14:textId="77777777" w:rsidTr="00C02B66">
        <w:tc>
          <w:tcPr>
            <w:tcW w:w="1530" w:type="dxa"/>
            <w:shd w:val="clear" w:color="auto" w:fill="auto"/>
          </w:tcPr>
          <w:p w14:paraId="45138187"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Socio and Cultural Well-Being</w:t>
            </w:r>
          </w:p>
        </w:tc>
        <w:tc>
          <w:tcPr>
            <w:tcW w:w="1458" w:type="dxa"/>
            <w:shd w:val="clear" w:color="auto" w:fill="auto"/>
          </w:tcPr>
          <w:p w14:paraId="185CF029"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40761FC0"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0EACCDD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1661505A"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2E545CB8"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575D861"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44FB03C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6CCC39D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71D4ADF2"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1DA2BDA2" w14:textId="77777777" w:rsidTr="00C02B66">
        <w:tc>
          <w:tcPr>
            <w:tcW w:w="1530" w:type="dxa"/>
            <w:shd w:val="clear" w:color="auto" w:fill="auto"/>
          </w:tcPr>
          <w:p w14:paraId="418D679D"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Human Health or Aesthetics</w:t>
            </w:r>
          </w:p>
        </w:tc>
        <w:tc>
          <w:tcPr>
            <w:tcW w:w="1458" w:type="dxa"/>
            <w:shd w:val="clear" w:color="auto" w:fill="auto"/>
          </w:tcPr>
          <w:p w14:paraId="68CCC31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1265D12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67169A8A"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69338F40"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7A0B726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24309F5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785D1F1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277FDEA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6F8D5FD7"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019CCC5C" w14:textId="77777777" w:rsidTr="00C02B66">
        <w:tc>
          <w:tcPr>
            <w:tcW w:w="1530" w:type="dxa"/>
            <w:shd w:val="clear" w:color="auto" w:fill="auto"/>
          </w:tcPr>
          <w:p w14:paraId="0751B384"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Infrastructure and Services</w:t>
            </w:r>
          </w:p>
        </w:tc>
        <w:tc>
          <w:tcPr>
            <w:tcW w:w="1458" w:type="dxa"/>
            <w:shd w:val="clear" w:color="auto" w:fill="auto"/>
          </w:tcPr>
          <w:p w14:paraId="64608340"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6598263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18FEB80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EE729FA"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05424D91"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5BA65CF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1849266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4954145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399E1BC9"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34A07BD9" w14:textId="77777777" w:rsidTr="00C02B66">
        <w:tc>
          <w:tcPr>
            <w:tcW w:w="1530" w:type="dxa"/>
            <w:shd w:val="clear" w:color="auto" w:fill="auto"/>
          </w:tcPr>
          <w:p w14:paraId="77588CD5"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Employment and Economy</w:t>
            </w:r>
          </w:p>
        </w:tc>
        <w:tc>
          <w:tcPr>
            <w:tcW w:w="1458" w:type="dxa"/>
            <w:shd w:val="clear" w:color="auto" w:fill="auto"/>
          </w:tcPr>
          <w:p w14:paraId="1B1FB60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2A97DAA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1EAD0367"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6E68571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33E2E56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22886409"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6572742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72DECF8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68CDA785"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0D4F8918" w14:textId="77777777" w:rsidTr="00C02B66">
        <w:tc>
          <w:tcPr>
            <w:tcW w:w="1530" w:type="dxa"/>
            <w:shd w:val="clear" w:color="auto" w:fill="auto"/>
          </w:tcPr>
          <w:p w14:paraId="0BBC0834"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Rights of Indigenous peoples</w:t>
            </w:r>
          </w:p>
        </w:tc>
        <w:tc>
          <w:tcPr>
            <w:tcW w:w="1458" w:type="dxa"/>
            <w:shd w:val="clear" w:color="auto" w:fill="auto"/>
          </w:tcPr>
          <w:p w14:paraId="47937A99"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7FD312E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5F890128"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25FE4243"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2640B8F1"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1C03BCA9"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5669615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23C7CDBA"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432C15DD"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601644F8" w14:textId="77777777" w:rsidTr="00C02B66">
        <w:tc>
          <w:tcPr>
            <w:tcW w:w="1530" w:type="dxa"/>
            <w:shd w:val="clear" w:color="auto" w:fill="auto"/>
          </w:tcPr>
          <w:p w14:paraId="3F4B0DF9"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Accidents and Malfunctions</w:t>
            </w:r>
          </w:p>
        </w:tc>
        <w:tc>
          <w:tcPr>
            <w:tcW w:w="1458" w:type="dxa"/>
            <w:shd w:val="clear" w:color="auto" w:fill="auto"/>
          </w:tcPr>
          <w:p w14:paraId="3D63E26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3BF12DD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2E7828D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52C449A7"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4F4A5B51"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29E0F7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34C4F8D1"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038A2BA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66B8F184"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3AA5A112" w14:textId="77777777" w:rsidTr="00C02B66">
        <w:tc>
          <w:tcPr>
            <w:tcW w:w="1530" w:type="dxa"/>
            <w:shd w:val="clear" w:color="auto" w:fill="auto"/>
          </w:tcPr>
          <w:p w14:paraId="5160CD23"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Effects of the Environment on the Project</w:t>
            </w:r>
          </w:p>
        </w:tc>
        <w:tc>
          <w:tcPr>
            <w:tcW w:w="1458" w:type="dxa"/>
            <w:shd w:val="clear" w:color="auto" w:fill="auto"/>
          </w:tcPr>
          <w:p w14:paraId="09AA98E7"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70B87995"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701D34A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2B79B752"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777A97BB"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351BE40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0A08E87F"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12CC09D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38A204F9" w14:textId="77777777" w:rsidR="00FF781C" w:rsidRPr="00FF781C" w:rsidRDefault="00FF781C" w:rsidP="00FF781C">
            <w:pPr>
              <w:spacing w:after="220" w:line="240" w:lineRule="auto"/>
              <w:rPr>
                <w:rFonts w:ascii="Times New Roman" w:eastAsia="Times New Roman" w:hAnsi="Times New Roman" w:cs="Times New Roman"/>
                <w:szCs w:val="24"/>
              </w:rPr>
            </w:pPr>
          </w:p>
        </w:tc>
      </w:tr>
      <w:tr w:rsidR="00FF781C" w:rsidRPr="00FF781C" w14:paraId="3C6A3874" w14:textId="77777777" w:rsidTr="00C02B66">
        <w:tc>
          <w:tcPr>
            <w:tcW w:w="1530" w:type="dxa"/>
            <w:shd w:val="clear" w:color="auto" w:fill="auto"/>
          </w:tcPr>
          <w:p w14:paraId="7F20F67E" w14:textId="77777777" w:rsidR="00FF781C" w:rsidRPr="00FF781C" w:rsidRDefault="00FF781C" w:rsidP="00FF781C">
            <w:pPr>
              <w:spacing w:before="80" w:after="220" w:line="240" w:lineRule="auto"/>
              <w:rPr>
                <w:rFonts w:ascii="Times New Roman" w:eastAsia="Times New Roman" w:hAnsi="Times New Roman" w:cs="Times New Roman"/>
                <w:sz w:val="21"/>
                <w:szCs w:val="21"/>
              </w:rPr>
            </w:pPr>
            <w:r w:rsidRPr="00FF781C">
              <w:rPr>
                <w:rFonts w:ascii="Times New Roman" w:eastAsia="Times New Roman" w:hAnsi="Times New Roman" w:cs="Times New Roman"/>
                <w:sz w:val="21"/>
                <w:szCs w:val="21"/>
              </w:rPr>
              <w:t>Other (please specify)</w:t>
            </w:r>
          </w:p>
        </w:tc>
        <w:tc>
          <w:tcPr>
            <w:tcW w:w="1458" w:type="dxa"/>
            <w:shd w:val="clear" w:color="auto" w:fill="auto"/>
          </w:tcPr>
          <w:p w14:paraId="2E9D4080"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97" w:type="dxa"/>
          </w:tcPr>
          <w:p w14:paraId="61C04ABC"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363" w:type="dxa"/>
            <w:shd w:val="clear" w:color="auto" w:fill="auto"/>
          </w:tcPr>
          <w:p w14:paraId="28FFFF24"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FEBD0AE"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620" w:type="dxa"/>
            <w:shd w:val="clear" w:color="auto" w:fill="auto"/>
          </w:tcPr>
          <w:p w14:paraId="14B1A3CA"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440" w:type="dxa"/>
            <w:shd w:val="clear" w:color="auto" w:fill="auto"/>
          </w:tcPr>
          <w:p w14:paraId="7DE54A88"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1530" w:type="dxa"/>
            <w:shd w:val="clear" w:color="auto" w:fill="auto"/>
          </w:tcPr>
          <w:p w14:paraId="60692E8D"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3060" w:type="dxa"/>
            <w:shd w:val="clear" w:color="auto" w:fill="auto"/>
          </w:tcPr>
          <w:p w14:paraId="3E2BCDD6" w14:textId="77777777" w:rsidR="00FF781C" w:rsidRPr="00FF781C" w:rsidRDefault="00FF781C" w:rsidP="00FF781C">
            <w:pPr>
              <w:spacing w:after="220" w:line="240" w:lineRule="auto"/>
              <w:rPr>
                <w:rFonts w:ascii="Times New Roman" w:eastAsia="Times New Roman" w:hAnsi="Times New Roman" w:cs="Times New Roman"/>
                <w:szCs w:val="24"/>
              </w:rPr>
            </w:pPr>
          </w:p>
        </w:tc>
        <w:tc>
          <w:tcPr>
            <w:tcW w:w="2412" w:type="dxa"/>
            <w:shd w:val="clear" w:color="auto" w:fill="auto"/>
          </w:tcPr>
          <w:p w14:paraId="318452D3" w14:textId="77777777" w:rsidR="00FF781C" w:rsidRPr="00FF781C" w:rsidRDefault="00FF781C" w:rsidP="00FF781C">
            <w:pPr>
              <w:spacing w:after="220" w:line="240" w:lineRule="auto"/>
              <w:rPr>
                <w:rFonts w:ascii="Times New Roman" w:eastAsia="Times New Roman" w:hAnsi="Times New Roman" w:cs="Times New Roman"/>
                <w:szCs w:val="24"/>
              </w:rPr>
            </w:pPr>
          </w:p>
        </w:tc>
      </w:tr>
    </w:tbl>
    <w:p w14:paraId="02AD6885" w14:textId="77777777" w:rsidR="0081012C" w:rsidRDefault="0081012C"/>
    <w:sectPr w:rsidR="0081012C" w:rsidSect="00FF781C">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81C"/>
    <w:rsid w:val="0025056B"/>
    <w:rsid w:val="004D1D83"/>
    <w:rsid w:val="0081012C"/>
    <w:rsid w:val="008534F3"/>
    <w:rsid w:val="00B95725"/>
    <w:rsid w:val="00FF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53F1"/>
  <w15:chartTrackingRefBased/>
  <w15:docId w15:val="{B738D828-68C0-4A57-8A1A-D3B74906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Canada Energy Regulator</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B-2 / Table K-1 -Environmental and Socio-Economics Interactions</dc:title>
  <dc:subject>Table B-2 / Table K-1 -Environmental and Socio-Economics Interactions</dc:subject>
  <dc:creator>Rob Steedman</dc:creator>
  <cp:keywords/>
  <dc:description/>
  <cp:lastModifiedBy>Elizabeth Arden</cp:lastModifiedBy>
  <cp:revision>4</cp:revision>
  <dcterms:created xsi:type="dcterms:W3CDTF">2021-11-09T17:15:00Z</dcterms:created>
  <dcterms:modified xsi:type="dcterms:W3CDTF">2021-11-12T18:09:00Z</dcterms:modified>
</cp:coreProperties>
</file>